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0023-01-2024-0012</w:t>
      </w:r>
      <w:r>
        <w:rPr>
          <w:rFonts w:ascii="Times New Roman" w:eastAsia="Times New Roman" w:hAnsi="Times New Roman" w:cs="Times New Roman"/>
          <w:sz w:val="26"/>
          <w:szCs w:val="26"/>
        </w:rPr>
        <w:t>90</w:t>
      </w:r>
      <w:r>
        <w:rPr>
          <w:rFonts w:ascii="Times New Roman" w:eastAsia="Times New Roman" w:hAnsi="Times New Roman" w:cs="Times New Roman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-2301/2024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апреля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участии лица, привлекаемого к административной ответственности Уляшиной Т.В.,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гражданки Уляшиной Татьяны Вячеславовны </w:t>
      </w:r>
      <w:r>
        <w:rPr>
          <w:rStyle w:val="cat-PassportDatagrp-28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гражданки РФ, </w:t>
      </w:r>
      <w:r>
        <w:rPr>
          <w:rStyle w:val="cat-PassportDatagrp-29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ХМАО -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работающей,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привлекаемой к административной ответственности за совершение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ч.1 </w:t>
      </w:r>
      <w:r>
        <w:rPr>
          <w:rFonts w:ascii="Times New Roman" w:eastAsia="Times New Roman" w:hAnsi="Times New Roman" w:cs="Times New Roman"/>
          <w:sz w:val="25"/>
          <w:szCs w:val="25"/>
        </w:rPr>
        <w:t>ст. 20.2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ранее привлекавше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>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Уляшина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19 июля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00 час. 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находясь </w:t>
      </w:r>
      <w:r>
        <w:rPr>
          <w:rFonts w:ascii="Times New Roman" w:eastAsia="Times New Roman" w:hAnsi="Times New Roman" w:cs="Times New Roman"/>
          <w:sz w:val="25"/>
          <w:szCs w:val="25"/>
        </w:rPr>
        <w:t>по адресу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1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будучи привлеченн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10 </w:t>
      </w:r>
      <w:r>
        <w:rPr>
          <w:rFonts w:ascii="Times New Roman" w:eastAsia="Times New Roman" w:hAnsi="Times New Roman" w:cs="Times New Roman"/>
          <w:sz w:val="25"/>
          <w:szCs w:val="25"/>
        </w:rPr>
        <w:t>мая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>к административной ответственности по ч. 1 ст. 17.14 КоАП РФ к административному наказанию в виде штрафа в размере 1 000 рублей, наложенный на не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 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5"/>
          <w:szCs w:val="25"/>
        </w:rPr>
        <w:t>Устюговой Н.В</w:t>
      </w:r>
      <w:r>
        <w:rPr>
          <w:rFonts w:ascii="Times New Roman" w:eastAsia="Times New Roman" w:hAnsi="Times New Roman" w:cs="Times New Roman"/>
          <w:sz w:val="25"/>
          <w:szCs w:val="25"/>
        </w:rPr>
        <w:t>., 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Уляшина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вину признал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суду сообщил, что штраф </w:t>
      </w:r>
      <w:r>
        <w:rPr>
          <w:rFonts w:ascii="Times New Roman" w:eastAsia="Times New Roman" w:hAnsi="Times New Roman" w:cs="Times New Roman"/>
          <w:sz w:val="25"/>
          <w:szCs w:val="25"/>
        </w:rPr>
        <w:t>не оплачивал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совершенном правонарушении раскаял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Уляшин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причастность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совершению правонарушения в полном объёме подтверждается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признательными показаниями, 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16 апреля 2024 года</w:t>
      </w:r>
      <w:r>
        <w:rPr>
          <w:rFonts w:ascii="Times New Roman" w:eastAsia="Times New Roman" w:hAnsi="Times New Roman" w:cs="Times New Roman"/>
          <w:sz w:val="25"/>
          <w:szCs w:val="25"/>
        </w:rPr>
        <w:t>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по делу об административном правонарушении 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5"/>
          <w:szCs w:val="25"/>
        </w:rPr>
        <w:t>Устюговой Н.В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10 </w:t>
      </w:r>
      <w:r>
        <w:rPr>
          <w:rFonts w:ascii="Times New Roman" w:eastAsia="Times New Roman" w:hAnsi="Times New Roman" w:cs="Times New Roman"/>
          <w:sz w:val="25"/>
          <w:szCs w:val="25"/>
        </w:rPr>
        <w:t>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по ч. 1 ст. 17.14 КоАП РФ, которым лицо, привлекаемое к административной ответственности, подвергнуто к адми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нистративному штрафу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1 000 рублей. Указанное постановление вступило в законную силу 20 </w:t>
      </w:r>
      <w:r>
        <w:rPr>
          <w:rFonts w:ascii="Times New Roman" w:eastAsia="Times New Roman" w:hAnsi="Times New Roman" w:cs="Times New Roman"/>
          <w:sz w:val="25"/>
          <w:szCs w:val="25"/>
        </w:rPr>
        <w:t>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5"/>
          <w:szCs w:val="25"/>
        </w:rPr>
        <w:t>18 июля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Также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5"/>
          <w:szCs w:val="25"/>
        </w:rPr>
        <w:t>Уляшиной Т.В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сводка информации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физическое лицо на имя </w:t>
      </w:r>
      <w:r>
        <w:rPr>
          <w:rFonts w:ascii="Times New Roman" w:eastAsia="Times New Roman" w:hAnsi="Times New Roman" w:cs="Times New Roman"/>
          <w:sz w:val="25"/>
          <w:szCs w:val="25"/>
        </w:rPr>
        <w:t>Уляшина Т.В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Уляшин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5"/>
          <w:szCs w:val="25"/>
        </w:rPr>
        <w:t>Уляшин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РФ, </w:t>
      </w:r>
      <w:r>
        <w:rPr>
          <w:rFonts w:ascii="Times New Roman" w:eastAsia="Times New Roman" w:hAnsi="Times New Roman" w:cs="Times New Roman"/>
          <w:sz w:val="25"/>
          <w:szCs w:val="25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п</w:t>
      </w:r>
      <w:r>
        <w:rPr>
          <w:rFonts w:ascii="Times New Roman" w:eastAsia="Times New Roman" w:hAnsi="Times New Roman" w:cs="Times New Roman"/>
          <w:sz w:val="25"/>
          <w:szCs w:val="25"/>
        </w:rPr>
        <w:t>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личность виновного, его имущественное положение, </w:t>
      </w:r>
      <w:r>
        <w:rPr>
          <w:rFonts w:ascii="Times New Roman" w:eastAsia="Times New Roman" w:hAnsi="Times New Roman" w:cs="Times New Roman"/>
          <w:sz w:val="25"/>
          <w:szCs w:val="25"/>
        </w:rPr>
        <w:t>его состояние здоровья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отсутствие обстоятельств, смягчающих административную ответственность, предусмотренных ст. 4.2 КоАП РФ, наличие обстоятельств, отягчающих административную ответственность, предусмотренных ст. 4.3 КоАП РФ - повторное совершение однородных правонарушений,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Уляшин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штрафа в максимальном размере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санкцией ч. 1 </w:t>
      </w:r>
      <w:hyperlink r:id="rId4" w:anchor="/document/12125267/entry/202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ст.20.2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ст.ст. 29.9 - 29.11 Кодекса РФ «Об административных правонарушениях», мировой судья,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spacing w:before="0" w:after="0" w:line="230" w:lineRule="auto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Уляшину Татьяну Вячеславовну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статьи </w:t>
      </w:r>
      <w:r>
        <w:rPr>
          <w:rFonts w:ascii="Times New Roman" w:eastAsia="Times New Roman" w:hAnsi="Times New Roman" w:cs="Times New Roman"/>
          <w:sz w:val="25"/>
          <w:szCs w:val="25"/>
        </w:rPr>
        <w:t>20.2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тысячи) рублей. </w:t>
      </w:r>
    </w:p>
    <w:p>
      <w:pPr>
        <w:widowControl w:val="0"/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счёт (ЕКС): 40102810245370000007, Банк: РКЦ Ханты-Мансийск//УФК по ХМАО – Югре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Ханты-Мансийск, БИК 007162163 ИНН 8601073664, КПП 860101001,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0412365400235003132420111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КБК 72011601203019000140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ОКТМО 71884000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-код.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5"/>
          <w:szCs w:val="25"/>
        </w:rPr>
        <w:t>0412365400235003132420111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ОКТМО (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5"/>
          <w:szCs w:val="25"/>
        </w:rPr>
        <w:t>72011601203019000140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5"/>
          <w:szCs w:val="25"/>
        </w:rPr>
        <w:t>5-</w:t>
      </w:r>
      <w:r>
        <w:rPr>
          <w:rFonts w:ascii="Times New Roman" w:eastAsia="Times New Roman" w:hAnsi="Times New Roman" w:cs="Times New Roman"/>
          <w:sz w:val="25"/>
          <w:szCs w:val="25"/>
        </w:rPr>
        <w:t>313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-2301/2024 от </w:t>
      </w:r>
      <w:r>
        <w:rPr>
          <w:rFonts w:ascii="Times New Roman" w:eastAsia="Times New Roman" w:hAnsi="Times New Roman" w:cs="Times New Roman"/>
          <w:sz w:val="25"/>
          <w:szCs w:val="25"/>
        </w:rPr>
        <w:t>16.04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);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рублей 00 копеек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подлинный документ находится 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313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Н.В. 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36439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8rplc-8">
    <w:name w:val="cat-PassportData grp-28 rplc-8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PassportDatagrp-29rplc-10">
    <w:name w:val="cat-PassportData grp-29 rplc-10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5rplc-19">
    <w:name w:val="cat-Address grp-5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F58-5A2F-4FE4-8544-364804A72CC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